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¿Cuál es el impacto de recibir todas las compras en tu casa?</w:t>
      </w:r>
    </w:p>
    <w:p w:rsidR="00000000" w:rsidDel="00000000" w:rsidP="00000000" w:rsidRDefault="00000000" w:rsidRPr="00000000" w14:paraId="00000002">
      <w:pPr>
        <w:shd w:fill="ffffff" w:val="clear"/>
        <w:spacing w:after="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Buenas prácticas en logística urbana para América Latina</w:t>
      </w:r>
    </w:p>
    <w:p w:rsidR="00000000" w:rsidDel="00000000" w:rsidP="00000000" w:rsidRDefault="00000000" w:rsidRPr="00000000" w14:paraId="00000003">
      <w:pPr>
        <w:shd w:fill="ffffff" w:val="clear"/>
        <w:spacing w:after="0" w:lineRule="auto"/>
        <w:jc w:val="center"/>
        <w:rPr>
          <w:rFonts w:ascii="Arial Narrow" w:cs="Arial Narrow" w:eastAsia="Arial Narrow" w:hAnsi="Arial Narrow"/>
          <w:b w:val="1"/>
          <w:color w:val="404040"/>
          <w:sz w:val="28"/>
          <w:szCs w:val="28"/>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b w:val="0"/>
          <w:i w:val="1"/>
          <w:smallCaps w:val="0"/>
          <w:strike w:val="0"/>
          <w:color w:val="808080"/>
          <w:sz w:val="24"/>
          <w:szCs w:val="24"/>
          <w:u w:val="none"/>
          <w:shd w:fill="auto" w:val="clear"/>
          <w:vertAlign w:val="baseline"/>
        </w:rPr>
      </w:pPr>
      <w:r w:rsidDel="00000000" w:rsidR="00000000" w:rsidRPr="00000000">
        <w:rPr>
          <w:rFonts w:ascii="Arial Narrow" w:cs="Arial Narrow" w:eastAsia="Arial Narrow" w:hAnsi="Arial Narrow"/>
          <w:i w:val="1"/>
          <w:color w:val="808080"/>
          <w:sz w:val="24"/>
          <w:szCs w:val="24"/>
          <w:rtl w:val="0"/>
        </w:rPr>
        <w:t xml:space="preserve">CAF presenta la publicación; Logística Urbana Sostenible y Segura (LOGUS), que muestra el panorama de la logística urbana y el transporte de mercancías en la región y su estrategia que promueve el desarrollo competitivo y bienestar de la población en ciudades de América Latina mediante las experiencias piloto aplicadas en Fortaleza (Brasil), Cali (Colombia), Quito y Guayaquil (Ecuador) Rosario y Córdoba (Argentina).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b w:val="1"/>
          <w:i w:val="1"/>
          <w:smallCaps w:val="0"/>
          <w:strike w:val="0"/>
          <w:color w:val="7f7f7f"/>
          <w:u w:val="none"/>
          <w:shd w:fill="auto" w:val="clear"/>
          <w:vertAlign w:val="baseline"/>
          <w:rtl w:val="0"/>
        </w:rPr>
        <w:t xml:space="preserve">(</w:t>
      </w:r>
      <w:r w:rsidDel="00000000" w:rsidR="00000000" w:rsidRPr="00000000">
        <w:rPr>
          <w:rFonts w:ascii="Arial Narrow" w:cs="Arial Narrow" w:eastAsia="Arial Narrow" w:hAnsi="Arial Narrow"/>
          <w:b w:val="1"/>
          <w:i w:val="1"/>
          <w:color w:val="7f7f7f"/>
          <w:rtl w:val="0"/>
        </w:rPr>
        <w:t xml:space="preserve">Ciudad de México</w:t>
      </w:r>
      <w:r w:rsidDel="00000000" w:rsidR="00000000" w:rsidRPr="00000000">
        <w:rPr>
          <w:rFonts w:ascii="Arial Narrow" w:cs="Arial Narrow" w:eastAsia="Arial Narrow" w:hAnsi="Arial Narrow"/>
          <w:b w:val="1"/>
          <w:i w:val="1"/>
          <w:smallCaps w:val="0"/>
          <w:strike w:val="0"/>
          <w:color w:val="7f7f7f"/>
          <w:u w:val="none"/>
          <w:shd w:fill="auto" w:val="clear"/>
          <w:vertAlign w:val="baseline"/>
          <w:rtl w:val="0"/>
        </w:rPr>
        <w:t xml:space="preserve">, </w:t>
      </w:r>
      <w:r w:rsidDel="00000000" w:rsidR="00000000" w:rsidRPr="00000000">
        <w:rPr>
          <w:rFonts w:ascii="Arial Narrow" w:cs="Arial Narrow" w:eastAsia="Arial Narrow" w:hAnsi="Arial Narrow"/>
          <w:b w:val="1"/>
          <w:i w:val="1"/>
          <w:color w:val="7f7f7f"/>
          <w:rtl w:val="0"/>
        </w:rPr>
        <w:t xml:space="preserve">1</w:t>
      </w:r>
      <w:r w:rsidDel="00000000" w:rsidR="00000000" w:rsidRPr="00000000">
        <w:rPr>
          <w:rFonts w:ascii="Arial Narrow" w:cs="Arial Narrow" w:eastAsia="Arial Narrow" w:hAnsi="Arial Narrow"/>
          <w:b w:val="1"/>
          <w:i w:val="1"/>
          <w:smallCaps w:val="0"/>
          <w:strike w:val="0"/>
          <w:color w:val="7f7f7f"/>
          <w:u w:val="none"/>
          <w:shd w:fill="auto" w:val="clear"/>
          <w:vertAlign w:val="baseline"/>
          <w:rtl w:val="0"/>
        </w:rPr>
        <w:t xml:space="preserve">8 de</w:t>
      </w:r>
      <w:r w:rsidDel="00000000" w:rsidR="00000000" w:rsidRPr="00000000">
        <w:rPr>
          <w:rFonts w:ascii="Arial Narrow" w:cs="Arial Narrow" w:eastAsia="Arial Narrow" w:hAnsi="Arial Narrow"/>
          <w:b w:val="1"/>
          <w:i w:val="1"/>
          <w:smallCaps w:val="0"/>
          <w:strike w:val="0"/>
          <w:color w:val="808080"/>
          <w:u w:val="none"/>
          <w:shd w:fill="auto" w:val="clear"/>
          <w:vertAlign w:val="baseline"/>
          <w:rtl w:val="0"/>
        </w:rPr>
        <w:t xml:space="preserve"> </w:t>
      </w:r>
      <w:r w:rsidDel="00000000" w:rsidR="00000000" w:rsidRPr="00000000">
        <w:rPr>
          <w:rFonts w:ascii="Arial Narrow" w:cs="Arial Narrow" w:eastAsia="Arial Narrow" w:hAnsi="Arial Narrow"/>
          <w:b w:val="1"/>
          <w:i w:val="1"/>
          <w:color w:val="808080"/>
          <w:rtl w:val="0"/>
        </w:rPr>
        <w:t xml:space="preserve">mayo</w:t>
      </w:r>
      <w:r w:rsidDel="00000000" w:rsidR="00000000" w:rsidRPr="00000000">
        <w:rPr>
          <w:rFonts w:ascii="Arial Narrow" w:cs="Arial Narrow" w:eastAsia="Arial Narrow" w:hAnsi="Arial Narrow"/>
          <w:b w:val="1"/>
          <w:i w:val="1"/>
          <w:smallCaps w:val="0"/>
          <w:strike w:val="0"/>
          <w:color w:val="808080"/>
          <w:u w:val="none"/>
          <w:shd w:fill="auto" w:val="clear"/>
          <w:vertAlign w:val="baseline"/>
          <w:rtl w:val="0"/>
        </w:rPr>
        <w:t xml:space="preserve"> de 2020</w:t>
      </w:r>
      <w:r w:rsidDel="00000000" w:rsidR="00000000" w:rsidRPr="00000000">
        <w:rPr>
          <w:rFonts w:ascii="Arial Narrow" w:cs="Arial Narrow" w:eastAsia="Arial Narrow" w:hAnsi="Arial Narrow"/>
          <w:b w:val="1"/>
          <w:i w:val="1"/>
          <w:smallCaps w:val="0"/>
          <w:strike w:val="0"/>
          <w:color w:val="7f7f7f"/>
          <w:u w:val="none"/>
          <w:shd w:fill="auto" w:val="clear"/>
          <w:vertAlign w:val="baseline"/>
          <w:rtl w:val="0"/>
        </w:rPr>
        <w:t xml:space="preserve">). </w:t>
      </w:r>
      <w:r w:rsidDel="00000000" w:rsidR="00000000" w:rsidRPr="00000000">
        <w:rPr>
          <w:rFonts w:ascii="Arial Narrow" w:cs="Arial Narrow" w:eastAsia="Arial Narrow" w:hAnsi="Arial Narrow"/>
          <w:i w:val="1"/>
          <w:color w:val="222222"/>
          <w:rtl w:val="0"/>
        </w:rPr>
        <w:t xml:space="preserve">Antes de la pandemia, se preveía que el movimiento de cargas en las ciudades se multiplicaría por tres en el </w:t>
      </w:r>
      <w:r w:rsidDel="00000000" w:rsidR="00000000" w:rsidRPr="00000000">
        <w:rPr>
          <w:rFonts w:ascii="Arial Narrow" w:cs="Arial Narrow" w:eastAsia="Arial Narrow" w:hAnsi="Arial Narrow"/>
          <w:b w:val="1"/>
          <w:i w:val="1"/>
          <w:color w:val="222222"/>
          <w:rtl w:val="0"/>
        </w:rPr>
        <w:t xml:space="preserve">2050 con respecto al 2010</w:t>
      </w:r>
      <w:r w:rsidDel="00000000" w:rsidR="00000000" w:rsidRPr="00000000">
        <w:rPr>
          <w:rFonts w:ascii="Arial Narrow" w:cs="Arial Narrow" w:eastAsia="Arial Narrow" w:hAnsi="Arial Narrow"/>
          <w:i w:val="1"/>
          <w:color w:val="222222"/>
          <w:rtl w:val="0"/>
        </w:rPr>
        <w:t xml:space="preserve">. Hoy esta cifra, al igual que las de otros sectores de la economía, va en aumento debido a que el </w:t>
      </w:r>
      <w:r w:rsidDel="00000000" w:rsidR="00000000" w:rsidRPr="00000000">
        <w:rPr>
          <w:rFonts w:ascii="Arial Narrow" w:cs="Arial Narrow" w:eastAsia="Arial Narrow" w:hAnsi="Arial Narrow"/>
          <w:b w:val="1"/>
          <w:i w:val="1"/>
          <w:color w:val="222222"/>
          <w:rtl w:val="0"/>
        </w:rPr>
        <w:t xml:space="preserve">COVID-19</w:t>
      </w:r>
      <w:r w:rsidDel="00000000" w:rsidR="00000000" w:rsidRPr="00000000">
        <w:rPr>
          <w:rFonts w:ascii="Arial Narrow" w:cs="Arial Narrow" w:eastAsia="Arial Narrow" w:hAnsi="Arial Narrow"/>
          <w:i w:val="1"/>
          <w:color w:val="222222"/>
          <w:rtl w:val="0"/>
        </w:rPr>
        <w:t xml:space="preserve">, la tecnología y las nuevas tendencias de consumo permiten llevar a las viviendas comida, electrodomésticos, muebles, accesorios y hasta vehículos, entre otros; lo que ha multiplicado los envíos y convertir  cada domicilio en un potencial punto receptor.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i w:val="1"/>
          <w:color w:val="222222"/>
        </w:rPr>
      </w:pPr>
      <w:r w:rsidDel="00000000" w:rsidR="00000000" w:rsidRPr="00000000">
        <w:rPr>
          <w:rtl w:val="0"/>
        </w:rPr>
      </w:r>
    </w:p>
    <w:p w:rsidR="00000000" w:rsidDel="00000000" w:rsidP="00000000" w:rsidRDefault="00000000" w:rsidRPr="00000000" w14:paraId="00000007">
      <w:pPr>
        <w:shd w:fill="ffffff" w:val="clear"/>
        <w:spacing w:after="160" w:line="225.4909090909091" w:lineRule="auto"/>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Entregas fallidas, devoluciones, y fechas especiales como el día de la madre, Navidad, San Valentín, Black Friday y CyberMonday, son un desafío para la logística en las ciudades en un entorno de congestión, restricciones viales y con un alto impacto ambiental.</w:t>
      </w:r>
    </w:p>
    <w:p w:rsidR="00000000" w:rsidDel="00000000" w:rsidP="00000000" w:rsidRDefault="00000000" w:rsidRPr="00000000" w14:paraId="00000008">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Cada día una persona genera </w:t>
      </w:r>
      <w:r w:rsidDel="00000000" w:rsidR="00000000" w:rsidRPr="00000000">
        <w:rPr>
          <w:rFonts w:ascii="Arial Narrow" w:cs="Arial Narrow" w:eastAsia="Arial Narrow" w:hAnsi="Arial Narrow"/>
          <w:b w:val="1"/>
          <w:i w:val="1"/>
          <w:color w:val="222222"/>
          <w:rtl w:val="0"/>
        </w:rPr>
        <w:t xml:space="preserve">45 kg</w:t>
      </w:r>
      <w:r w:rsidDel="00000000" w:rsidR="00000000" w:rsidRPr="00000000">
        <w:rPr>
          <w:rFonts w:ascii="Arial Narrow" w:cs="Arial Narrow" w:eastAsia="Arial Narrow" w:hAnsi="Arial Narrow"/>
          <w:i w:val="1"/>
          <w:color w:val="222222"/>
          <w:rtl w:val="0"/>
        </w:rPr>
        <w:t xml:space="preserve"> de mercancías en </w:t>
      </w:r>
      <w:r w:rsidDel="00000000" w:rsidR="00000000" w:rsidRPr="00000000">
        <w:rPr>
          <w:rFonts w:ascii="Arial Narrow" w:cs="Arial Narrow" w:eastAsia="Arial Narrow" w:hAnsi="Arial Narrow"/>
          <w:b w:val="1"/>
          <w:i w:val="1"/>
          <w:color w:val="222222"/>
          <w:rtl w:val="0"/>
        </w:rPr>
        <w:t xml:space="preserve">Nueva York</w:t>
      </w:r>
      <w:r w:rsidDel="00000000" w:rsidR="00000000" w:rsidRPr="00000000">
        <w:rPr>
          <w:rFonts w:ascii="Arial Narrow" w:cs="Arial Narrow" w:eastAsia="Arial Narrow" w:hAnsi="Arial Narrow"/>
          <w:i w:val="1"/>
          <w:color w:val="222222"/>
          <w:rtl w:val="0"/>
        </w:rPr>
        <w:t xml:space="preserve">, </w:t>
      </w:r>
      <w:r w:rsidDel="00000000" w:rsidR="00000000" w:rsidRPr="00000000">
        <w:rPr>
          <w:rFonts w:ascii="Arial Narrow" w:cs="Arial Narrow" w:eastAsia="Arial Narrow" w:hAnsi="Arial Narrow"/>
          <w:b w:val="1"/>
          <w:i w:val="1"/>
          <w:color w:val="222222"/>
          <w:rtl w:val="0"/>
        </w:rPr>
        <w:t xml:space="preserve">35 kg</w:t>
      </w:r>
      <w:r w:rsidDel="00000000" w:rsidR="00000000" w:rsidRPr="00000000">
        <w:rPr>
          <w:rFonts w:ascii="Arial Narrow" w:cs="Arial Narrow" w:eastAsia="Arial Narrow" w:hAnsi="Arial Narrow"/>
          <w:i w:val="1"/>
          <w:color w:val="222222"/>
          <w:rtl w:val="0"/>
        </w:rPr>
        <w:t xml:space="preserve"> en </w:t>
      </w:r>
      <w:r w:rsidDel="00000000" w:rsidR="00000000" w:rsidRPr="00000000">
        <w:rPr>
          <w:rFonts w:ascii="Arial Narrow" w:cs="Arial Narrow" w:eastAsia="Arial Narrow" w:hAnsi="Arial Narrow"/>
          <w:b w:val="1"/>
          <w:i w:val="1"/>
          <w:color w:val="222222"/>
          <w:rtl w:val="0"/>
        </w:rPr>
        <w:t xml:space="preserve">Pekín</w:t>
      </w:r>
      <w:r w:rsidDel="00000000" w:rsidR="00000000" w:rsidRPr="00000000">
        <w:rPr>
          <w:rFonts w:ascii="Arial Narrow" w:cs="Arial Narrow" w:eastAsia="Arial Narrow" w:hAnsi="Arial Narrow"/>
          <w:i w:val="1"/>
          <w:color w:val="222222"/>
          <w:rtl w:val="0"/>
        </w:rPr>
        <w:t xml:space="preserve"> y </w:t>
      </w:r>
      <w:r w:rsidDel="00000000" w:rsidR="00000000" w:rsidRPr="00000000">
        <w:rPr>
          <w:rFonts w:ascii="Arial Narrow" w:cs="Arial Narrow" w:eastAsia="Arial Narrow" w:hAnsi="Arial Narrow"/>
          <w:b w:val="1"/>
          <w:i w:val="1"/>
          <w:color w:val="222222"/>
          <w:rtl w:val="0"/>
        </w:rPr>
        <w:t xml:space="preserve">32 kg</w:t>
      </w:r>
      <w:r w:rsidDel="00000000" w:rsidR="00000000" w:rsidRPr="00000000">
        <w:rPr>
          <w:rFonts w:ascii="Arial Narrow" w:cs="Arial Narrow" w:eastAsia="Arial Narrow" w:hAnsi="Arial Narrow"/>
          <w:i w:val="1"/>
          <w:color w:val="222222"/>
          <w:rtl w:val="0"/>
        </w:rPr>
        <w:t xml:space="preserve"> en </w:t>
      </w:r>
      <w:r w:rsidDel="00000000" w:rsidR="00000000" w:rsidRPr="00000000">
        <w:rPr>
          <w:rFonts w:ascii="Arial Narrow" w:cs="Arial Narrow" w:eastAsia="Arial Narrow" w:hAnsi="Arial Narrow"/>
          <w:b w:val="1"/>
          <w:i w:val="1"/>
          <w:color w:val="222222"/>
          <w:rtl w:val="0"/>
        </w:rPr>
        <w:t xml:space="preserve">Bogotá</w:t>
      </w:r>
      <w:r w:rsidDel="00000000" w:rsidR="00000000" w:rsidRPr="00000000">
        <w:rPr>
          <w:rFonts w:ascii="Arial Narrow" w:cs="Arial Narrow" w:eastAsia="Arial Narrow" w:hAnsi="Arial Narrow"/>
          <w:i w:val="1"/>
          <w:color w:val="222222"/>
          <w:rtl w:val="0"/>
        </w:rPr>
        <w:t xml:space="preserve">. En América Latina y el Caribe la proporción de población urbana es del 80%, con urbes que han crecido en los últimos años, implicando a los flujos logísticos mayores distancias y complejidad. Sin embargo, la logística aún tiene una presencia incipiente en el debate público en las ciudades y áreas metropolitanas.</w:t>
      </w:r>
    </w:p>
    <w:p w:rsidR="00000000" w:rsidDel="00000000" w:rsidP="00000000" w:rsidRDefault="00000000" w:rsidRPr="00000000" w14:paraId="00000009">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w:t>
      </w:r>
    </w:p>
    <w:p w:rsidR="00000000" w:rsidDel="00000000" w:rsidP="00000000" w:rsidRDefault="00000000" w:rsidRPr="00000000" w14:paraId="0000000A">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El desarrollo de la logística urbana impone retos sustanciales en América Latina: más movimientos de cargas y más frecuentes; impactos en la movilidad, la contaminación del aire o la seguridad vial; </w:t>
      </w:r>
      <w:r w:rsidDel="00000000" w:rsidR="00000000" w:rsidRPr="00000000">
        <w:rPr>
          <w:rFonts w:ascii="Arial Narrow" w:cs="Arial Narrow" w:eastAsia="Arial Narrow" w:hAnsi="Arial Narrow"/>
          <w:b w:val="1"/>
          <w:i w:val="1"/>
          <w:color w:val="222222"/>
          <w:rtl w:val="0"/>
        </w:rPr>
        <w:t xml:space="preserve">necesidades diferentes de consumidores y empresas, escasa calificación en el sector, economía informal; nuevos canales de distribución, comercio electrónico</w:t>
      </w:r>
      <w:r w:rsidDel="00000000" w:rsidR="00000000" w:rsidRPr="00000000">
        <w:rPr>
          <w:rFonts w:ascii="Arial Narrow" w:cs="Arial Narrow" w:eastAsia="Arial Narrow" w:hAnsi="Arial Narrow"/>
          <w:i w:val="1"/>
          <w:color w:val="222222"/>
          <w:rtl w:val="0"/>
        </w:rPr>
        <w:t xml:space="preserve">, economía colaborativa; que requieren de una mejor respuesta por parte de los hacedores de políticas públicas. Por ello, CAF –banco de desarrollo de América Latina-, presenta en una nueva publicación su estrategia en </w:t>
      </w:r>
      <w:hyperlink r:id="rId6">
        <w:r w:rsidDel="00000000" w:rsidR="00000000" w:rsidRPr="00000000">
          <w:rPr>
            <w:rFonts w:ascii="Arial Narrow" w:cs="Arial Narrow" w:eastAsia="Arial Narrow" w:hAnsi="Arial Narrow"/>
            <w:i w:val="1"/>
            <w:color w:val="0563c1"/>
            <w:u w:val="single"/>
            <w:rtl w:val="0"/>
          </w:rPr>
          <w:t xml:space="preserve">Logística Urbana Sostenible y Segura (LOGUS)</w:t>
        </w:r>
      </w:hyperlink>
      <w:r w:rsidDel="00000000" w:rsidR="00000000" w:rsidRPr="00000000">
        <w:rPr>
          <w:rFonts w:ascii="Arial Narrow" w:cs="Arial Narrow" w:eastAsia="Arial Narrow" w:hAnsi="Arial Narrow"/>
          <w:i w:val="1"/>
          <w:color w:val="222222"/>
          <w:rtl w:val="0"/>
        </w:rPr>
        <w:t xml:space="preserve">.</w:t>
      </w:r>
    </w:p>
    <w:p w:rsidR="00000000" w:rsidDel="00000000" w:rsidP="00000000" w:rsidRDefault="00000000" w:rsidRPr="00000000" w14:paraId="0000000B">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w:t>
      </w:r>
    </w:p>
    <w:p w:rsidR="00000000" w:rsidDel="00000000" w:rsidP="00000000" w:rsidRDefault="00000000" w:rsidRPr="00000000" w14:paraId="0000000C">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“El  COVID-19  abre una invaluable oportunidad para abordar con más atención la logística urbana, que aún es un debate pendiente en las agendas políticas. Hasta ahora el sistema de carga se ha presentado muy flexible, adaptándose continuamente a las necesidades de las empresas y de los consumidores, pero </w:t>
      </w:r>
      <w:r w:rsidDel="00000000" w:rsidR="00000000" w:rsidRPr="00000000">
        <w:rPr>
          <w:rFonts w:ascii="Arial Narrow" w:cs="Arial Narrow" w:eastAsia="Arial Narrow" w:hAnsi="Arial Narrow"/>
          <w:b w:val="1"/>
          <w:i w:val="1"/>
          <w:color w:val="222222"/>
          <w:rtl w:val="0"/>
        </w:rPr>
        <w:t xml:space="preserve">se requeriría replantear los logros en eficiencia del sector a costa de condiciones económicas y laborales precarias</w:t>
      </w:r>
      <w:r w:rsidDel="00000000" w:rsidR="00000000" w:rsidRPr="00000000">
        <w:rPr>
          <w:rFonts w:ascii="Arial Narrow" w:cs="Arial Narrow" w:eastAsia="Arial Narrow" w:hAnsi="Arial Narrow"/>
          <w:i w:val="1"/>
          <w:color w:val="222222"/>
          <w:rtl w:val="0"/>
        </w:rPr>
        <w:t xml:space="preserve">, de externalidades ambientales, del desacato normativo o del abuso de la economía informal”, aseguró el coordinador del programa LOGUS, </w:t>
      </w:r>
      <w:r w:rsidDel="00000000" w:rsidR="00000000" w:rsidRPr="00000000">
        <w:rPr>
          <w:rFonts w:ascii="Arial Narrow" w:cs="Arial Narrow" w:eastAsia="Arial Narrow" w:hAnsi="Arial Narrow"/>
          <w:b w:val="1"/>
          <w:i w:val="1"/>
          <w:color w:val="222222"/>
          <w:rtl w:val="0"/>
        </w:rPr>
        <w:t xml:space="preserve">Andrés Alcalá</w:t>
      </w:r>
      <w:r w:rsidDel="00000000" w:rsidR="00000000" w:rsidRPr="00000000">
        <w:rPr>
          <w:rFonts w:ascii="Arial Narrow" w:cs="Arial Narrow" w:eastAsia="Arial Narrow" w:hAnsi="Arial Narrow"/>
          <w:i w:val="1"/>
          <w:color w:val="222222"/>
          <w:rtl w:val="0"/>
        </w:rPr>
        <w:t xml:space="preserve">.</w:t>
      </w:r>
    </w:p>
    <w:p w:rsidR="00000000" w:rsidDel="00000000" w:rsidP="00000000" w:rsidRDefault="00000000" w:rsidRPr="00000000" w14:paraId="0000000D">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w:t>
      </w:r>
    </w:p>
    <w:p w:rsidR="00000000" w:rsidDel="00000000" w:rsidP="00000000" w:rsidRDefault="00000000" w:rsidRPr="00000000" w14:paraId="0000000E">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La estrategia CAF-LOGUS busca el desarrollo competitivo y mejorar la calidad de vida en ciudades de América Latina mediante las experiencias piloto aplicadas en 6 ciudades de la región: </w:t>
      </w:r>
      <w:r w:rsidDel="00000000" w:rsidR="00000000" w:rsidRPr="00000000">
        <w:rPr>
          <w:rFonts w:ascii="Arial Narrow" w:cs="Arial Narrow" w:eastAsia="Arial Narrow" w:hAnsi="Arial Narrow"/>
          <w:b w:val="1"/>
          <w:i w:val="1"/>
          <w:color w:val="222222"/>
          <w:rtl w:val="0"/>
        </w:rPr>
        <w:t xml:space="preserve">Fortaleza</w:t>
      </w:r>
      <w:r w:rsidDel="00000000" w:rsidR="00000000" w:rsidRPr="00000000">
        <w:rPr>
          <w:rFonts w:ascii="Arial Narrow" w:cs="Arial Narrow" w:eastAsia="Arial Narrow" w:hAnsi="Arial Narrow"/>
          <w:i w:val="1"/>
          <w:color w:val="222222"/>
          <w:rtl w:val="0"/>
        </w:rPr>
        <w:t xml:space="preserve"> (Brasil), </w:t>
      </w:r>
      <w:r w:rsidDel="00000000" w:rsidR="00000000" w:rsidRPr="00000000">
        <w:rPr>
          <w:rFonts w:ascii="Arial Narrow" w:cs="Arial Narrow" w:eastAsia="Arial Narrow" w:hAnsi="Arial Narrow"/>
          <w:b w:val="1"/>
          <w:i w:val="1"/>
          <w:color w:val="222222"/>
          <w:rtl w:val="0"/>
        </w:rPr>
        <w:t xml:space="preserve">Cali </w:t>
      </w:r>
      <w:r w:rsidDel="00000000" w:rsidR="00000000" w:rsidRPr="00000000">
        <w:rPr>
          <w:rFonts w:ascii="Arial Narrow" w:cs="Arial Narrow" w:eastAsia="Arial Narrow" w:hAnsi="Arial Narrow"/>
          <w:i w:val="1"/>
          <w:color w:val="222222"/>
          <w:rtl w:val="0"/>
        </w:rPr>
        <w:t xml:space="preserve">(Colombia), </w:t>
      </w:r>
      <w:r w:rsidDel="00000000" w:rsidR="00000000" w:rsidRPr="00000000">
        <w:rPr>
          <w:rFonts w:ascii="Arial Narrow" w:cs="Arial Narrow" w:eastAsia="Arial Narrow" w:hAnsi="Arial Narrow"/>
          <w:b w:val="1"/>
          <w:i w:val="1"/>
          <w:color w:val="222222"/>
          <w:rtl w:val="0"/>
        </w:rPr>
        <w:t xml:space="preserve">Quito y Guayaquil</w:t>
      </w:r>
      <w:r w:rsidDel="00000000" w:rsidR="00000000" w:rsidRPr="00000000">
        <w:rPr>
          <w:rFonts w:ascii="Arial Narrow" w:cs="Arial Narrow" w:eastAsia="Arial Narrow" w:hAnsi="Arial Narrow"/>
          <w:i w:val="1"/>
          <w:color w:val="222222"/>
          <w:rtl w:val="0"/>
        </w:rPr>
        <w:t xml:space="preserve"> (Ecuador) </w:t>
      </w:r>
      <w:r w:rsidDel="00000000" w:rsidR="00000000" w:rsidRPr="00000000">
        <w:rPr>
          <w:rFonts w:ascii="Arial Narrow" w:cs="Arial Narrow" w:eastAsia="Arial Narrow" w:hAnsi="Arial Narrow"/>
          <w:b w:val="1"/>
          <w:i w:val="1"/>
          <w:color w:val="222222"/>
          <w:rtl w:val="0"/>
        </w:rPr>
        <w:t xml:space="preserve">Rosario y Córdoba</w:t>
      </w:r>
      <w:r w:rsidDel="00000000" w:rsidR="00000000" w:rsidRPr="00000000">
        <w:rPr>
          <w:rFonts w:ascii="Arial Narrow" w:cs="Arial Narrow" w:eastAsia="Arial Narrow" w:hAnsi="Arial Narrow"/>
          <w:i w:val="1"/>
          <w:color w:val="222222"/>
          <w:rtl w:val="0"/>
        </w:rPr>
        <w:t xml:space="preserve"> (Argentina), y ofrece una serie de herramientas flexibles y adaptables, así como instrumentos de conocimiento, diagnóstico y aplicación que pretenden contribuir al proceso de mejora continua, necesario en el desarrollo de la logística urbana sostenible.</w:t>
      </w:r>
    </w:p>
    <w:p w:rsidR="00000000" w:rsidDel="00000000" w:rsidP="00000000" w:rsidRDefault="00000000" w:rsidRPr="00000000" w14:paraId="0000000F">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w:t>
      </w:r>
    </w:p>
    <w:p w:rsidR="00000000" w:rsidDel="00000000" w:rsidP="00000000" w:rsidRDefault="00000000" w:rsidRPr="00000000" w14:paraId="00000010">
      <w:pPr>
        <w:shd w:fill="ffffff" w:val="clear"/>
        <w:jc w:val="both"/>
        <w:rPr>
          <w:rFonts w:ascii="Arial Narrow" w:cs="Arial Narrow" w:eastAsia="Arial Narrow" w:hAnsi="Arial Narrow"/>
          <w:b w:val="1"/>
          <w:i w:val="1"/>
          <w:color w:val="404040"/>
          <w:sz w:val="36"/>
          <w:szCs w:val="36"/>
        </w:rPr>
      </w:pPr>
      <w:r w:rsidDel="00000000" w:rsidR="00000000" w:rsidRPr="00000000">
        <w:rPr>
          <w:rFonts w:ascii="Arial Narrow" w:cs="Arial Narrow" w:eastAsia="Arial Narrow" w:hAnsi="Arial Narrow"/>
          <w:b w:val="1"/>
          <w:i w:val="1"/>
          <w:color w:val="404040"/>
          <w:sz w:val="36"/>
          <w:szCs w:val="36"/>
          <w:rtl w:val="0"/>
        </w:rPr>
        <w:t xml:space="preserve">Guía de buenas prácticas</w:t>
      </w:r>
    </w:p>
    <w:p w:rsidR="00000000" w:rsidDel="00000000" w:rsidP="00000000" w:rsidRDefault="00000000" w:rsidRPr="00000000" w14:paraId="00000011">
      <w:pPr>
        <w:shd w:fill="ffffff" w:val="clear"/>
        <w:jc w:val="both"/>
        <w:rPr>
          <w:rFonts w:ascii="Arial Narrow" w:cs="Arial Narrow" w:eastAsia="Arial Narrow" w:hAnsi="Arial Narrow"/>
          <w:i w:val="1"/>
          <w:color w:val="222222"/>
          <w:sz w:val="24"/>
          <w:szCs w:val="24"/>
        </w:rPr>
      </w:pPr>
      <w:r w:rsidDel="00000000" w:rsidR="00000000" w:rsidRPr="00000000">
        <w:rPr>
          <w:rFonts w:ascii="Arial Narrow" w:cs="Arial Narrow" w:eastAsia="Arial Narrow" w:hAnsi="Arial Narrow"/>
          <w:i w:val="1"/>
          <w:color w:val="222222"/>
          <w:sz w:val="24"/>
          <w:szCs w:val="24"/>
          <w:rtl w:val="0"/>
        </w:rPr>
        <w:t xml:space="preserve"> </w:t>
      </w:r>
    </w:p>
    <w:p w:rsidR="00000000" w:rsidDel="00000000" w:rsidP="00000000" w:rsidRDefault="00000000" w:rsidRPr="00000000" w14:paraId="00000012">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La logística urbana debe integrarse de manera más sólida a las políticas urbanas, no sólo de movilidad, sino también de planificación territorial, urbanismo, medio ambiente, producción y comercio. La publicación también contiene una Guía de Políticas Públicas en materia de logística urbana que le ofrece a técnicos y decisores de las administraciones locales un conocimiento objetivo de las principales tendencias internacionales en políticas públicas sobre logística urbana. Esta guía cuenta con </w:t>
      </w:r>
      <w:r w:rsidDel="00000000" w:rsidR="00000000" w:rsidRPr="00000000">
        <w:rPr>
          <w:rFonts w:ascii="Arial Narrow" w:cs="Arial Narrow" w:eastAsia="Arial Narrow" w:hAnsi="Arial Narrow"/>
          <w:b w:val="1"/>
          <w:i w:val="1"/>
          <w:color w:val="222222"/>
          <w:rtl w:val="0"/>
        </w:rPr>
        <w:t xml:space="preserve">24</w:t>
      </w:r>
      <w:r w:rsidDel="00000000" w:rsidR="00000000" w:rsidRPr="00000000">
        <w:rPr>
          <w:rFonts w:ascii="Arial Narrow" w:cs="Arial Narrow" w:eastAsia="Arial Narrow" w:hAnsi="Arial Narrow"/>
          <w:i w:val="1"/>
          <w:color w:val="222222"/>
          <w:rtl w:val="0"/>
        </w:rPr>
        <w:t xml:space="preserve"> fichas de políticas en las que se citan al menos </w:t>
      </w:r>
      <w:r w:rsidDel="00000000" w:rsidR="00000000" w:rsidRPr="00000000">
        <w:rPr>
          <w:rFonts w:ascii="Arial Narrow" w:cs="Arial Narrow" w:eastAsia="Arial Narrow" w:hAnsi="Arial Narrow"/>
          <w:b w:val="1"/>
          <w:i w:val="1"/>
          <w:color w:val="222222"/>
          <w:rtl w:val="0"/>
        </w:rPr>
        <w:t xml:space="preserve">76</w:t>
      </w:r>
      <w:r w:rsidDel="00000000" w:rsidR="00000000" w:rsidRPr="00000000">
        <w:rPr>
          <w:rFonts w:ascii="Arial Narrow" w:cs="Arial Narrow" w:eastAsia="Arial Narrow" w:hAnsi="Arial Narrow"/>
          <w:i w:val="1"/>
          <w:color w:val="222222"/>
          <w:rtl w:val="0"/>
        </w:rPr>
        <w:t xml:space="preserve"> ejemplos ilustrativos de buenas prácticas, de los cuales un poco más del </w:t>
      </w:r>
      <w:r w:rsidDel="00000000" w:rsidR="00000000" w:rsidRPr="00000000">
        <w:rPr>
          <w:rFonts w:ascii="Arial Narrow" w:cs="Arial Narrow" w:eastAsia="Arial Narrow" w:hAnsi="Arial Narrow"/>
          <w:b w:val="1"/>
          <w:i w:val="1"/>
          <w:color w:val="222222"/>
          <w:rtl w:val="0"/>
        </w:rPr>
        <w:t xml:space="preserve">50%</w:t>
      </w:r>
      <w:r w:rsidDel="00000000" w:rsidR="00000000" w:rsidRPr="00000000">
        <w:rPr>
          <w:rFonts w:ascii="Arial Narrow" w:cs="Arial Narrow" w:eastAsia="Arial Narrow" w:hAnsi="Arial Narrow"/>
          <w:i w:val="1"/>
          <w:color w:val="222222"/>
          <w:rtl w:val="0"/>
        </w:rPr>
        <w:t xml:space="preserve"> corresponde a casos de Europa, un </w:t>
      </w:r>
      <w:r w:rsidDel="00000000" w:rsidR="00000000" w:rsidRPr="00000000">
        <w:rPr>
          <w:rFonts w:ascii="Arial Narrow" w:cs="Arial Narrow" w:eastAsia="Arial Narrow" w:hAnsi="Arial Narrow"/>
          <w:b w:val="1"/>
          <w:i w:val="1"/>
          <w:color w:val="222222"/>
          <w:rtl w:val="0"/>
        </w:rPr>
        <w:t xml:space="preserve">37%</w:t>
      </w:r>
      <w:r w:rsidDel="00000000" w:rsidR="00000000" w:rsidRPr="00000000">
        <w:rPr>
          <w:rFonts w:ascii="Arial Narrow" w:cs="Arial Narrow" w:eastAsia="Arial Narrow" w:hAnsi="Arial Narrow"/>
          <w:i w:val="1"/>
          <w:color w:val="222222"/>
          <w:rtl w:val="0"/>
        </w:rPr>
        <w:t xml:space="preserve"> a casos de América Latina, el resto de Estados Unidos y Asia.</w:t>
      </w:r>
    </w:p>
    <w:p w:rsidR="00000000" w:rsidDel="00000000" w:rsidP="00000000" w:rsidRDefault="00000000" w:rsidRPr="00000000" w14:paraId="00000013">
      <w:pPr>
        <w:shd w:fill="ffffff" w:val="clear"/>
        <w:jc w:val="both"/>
        <w:rPr>
          <w:rFonts w:ascii="Arial Narrow" w:cs="Arial Narrow" w:eastAsia="Arial Narrow" w:hAnsi="Arial Narrow"/>
          <w:i w:val="1"/>
          <w:color w:val="222222"/>
          <w:sz w:val="24"/>
          <w:szCs w:val="24"/>
        </w:rPr>
      </w:pPr>
      <w:r w:rsidDel="00000000" w:rsidR="00000000" w:rsidRPr="00000000">
        <w:rPr>
          <w:rFonts w:ascii="Arial Narrow" w:cs="Arial Narrow" w:eastAsia="Arial Narrow" w:hAnsi="Arial Narrow"/>
          <w:i w:val="1"/>
          <w:color w:val="222222"/>
          <w:sz w:val="24"/>
          <w:szCs w:val="24"/>
          <w:rtl w:val="0"/>
        </w:rPr>
        <w:t xml:space="preserve"> </w:t>
      </w:r>
    </w:p>
    <w:tbl>
      <w:tblPr>
        <w:tblStyle w:val="Table1"/>
        <w:tblW w:w="8838.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1.347280334728"/>
        <w:gridCol w:w="5916.652719665272"/>
        <w:tblGridChange w:id="0">
          <w:tblGrid>
            <w:gridCol w:w="2921.347280334728"/>
            <w:gridCol w:w="5916.652719665272"/>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hd w:fill="ffffff" w:val="clear"/>
              <w:jc w:val="center"/>
              <w:rPr>
                <w:rFonts w:ascii="Roboto" w:cs="Roboto" w:eastAsia="Roboto" w:hAnsi="Roboto"/>
                <w:i w:val="1"/>
                <w:color w:val="222222"/>
              </w:rPr>
            </w:pPr>
            <w:r w:rsidDel="00000000" w:rsidR="00000000" w:rsidRPr="00000000">
              <w:rPr>
                <w:rFonts w:ascii="Roboto" w:cs="Roboto" w:eastAsia="Roboto" w:hAnsi="Roboto"/>
                <w:i w:val="1"/>
                <w:color w:val="222222"/>
                <w:rtl w:val="0"/>
              </w:rPr>
              <w:t xml:space="preserve">HABILITADORES TEMÁTICOS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hd w:fill="ffffff" w:val="clear"/>
              <w:jc w:val="both"/>
              <w:rPr>
                <w:rFonts w:ascii="Roboto" w:cs="Roboto" w:eastAsia="Roboto" w:hAnsi="Roboto"/>
                <w:i w:val="1"/>
                <w:color w:val="222222"/>
              </w:rPr>
            </w:pPr>
            <w:r w:rsidDel="00000000" w:rsidR="00000000" w:rsidRPr="00000000">
              <w:rPr>
                <w:rFonts w:ascii="Roboto" w:cs="Roboto" w:eastAsia="Roboto" w:hAnsi="Roboto"/>
                <w:i w:val="1"/>
                <w:color w:val="222222"/>
                <w:rtl w:val="0"/>
              </w:rPr>
              <w:t xml:space="preserve">FICHAS DE BUENAS PRÁCTICAS EN LA GUÍA</w:t>
            </w:r>
          </w:p>
        </w:tc>
      </w:tr>
      <w:tr>
        <w:trPr>
          <w:trHeight w:val="102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hd w:fill="ffffff" w:val="clear"/>
              <w:jc w:val="center"/>
              <w:rPr>
                <w:rFonts w:ascii="Roboto" w:cs="Roboto" w:eastAsia="Roboto" w:hAnsi="Roboto"/>
                <w:i w:val="1"/>
                <w:color w:val="222222"/>
              </w:rPr>
            </w:pPr>
            <w:r w:rsidDel="00000000" w:rsidR="00000000" w:rsidRPr="00000000">
              <w:rPr>
                <w:rFonts w:ascii="Roboto" w:cs="Roboto" w:eastAsia="Roboto" w:hAnsi="Roboto"/>
                <w:i w:val="1"/>
                <w:color w:val="222222"/>
                <w:rtl w:val="0"/>
              </w:rPr>
              <w:t xml:space="preserve">1. INSTITUCIONALIDAD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Acuerdos público-privados sobre estrategia de logística urbana</w:t>
            </w:r>
          </w:p>
          <w:p w:rsidR="00000000" w:rsidDel="00000000" w:rsidP="00000000" w:rsidRDefault="00000000" w:rsidRPr="00000000" w14:paraId="00000018">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Unidades de logística urbana en las alcaldías</w:t>
            </w:r>
          </w:p>
          <w:p w:rsidR="00000000" w:rsidDel="00000000" w:rsidP="00000000" w:rsidRDefault="00000000" w:rsidRPr="00000000" w14:paraId="00000019">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Redes de intercambio de experiencias en logística urbana</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hd w:fill="ffffff" w:val="clear"/>
              <w:jc w:val="center"/>
              <w:rPr>
                <w:rFonts w:ascii="Roboto" w:cs="Roboto" w:eastAsia="Roboto" w:hAnsi="Roboto"/>
                <w:i w:val="1"/>
                <w:color w:val="222222"/>
              </w:rPr>
            </w:pPr>
            <w:r w:rsidDel="00000000" w:rsidR="00000000" w:rsidRPr="00000000">
              <w:rPr>
                <w:rFonts w:ascii="Roboto" w:cs="Roboto" w:eastAsia="Roboto" w:hAnsi="Roboto"/>
                <w:i w:val="1"/>
                <w:color w:val="222222"/>
                <w:rtl w:val="0"/>
              </w:rPr>
              <w:t xml:space="preserve">2. PLANIFICACIÓN Y MONITOREO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Planes de logística urbana</w:t>
            </w:r>
          </w:p>
          <w:p w:rsidR="00000000" w:rsidDel="00000000" w:rsidP="00000000" w:rsidRDefault="00000000" w:rsidRPr="00000000" w14:paraId="0000001C">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Observatorios de logística urbana</w:t>
            </w:r>
          </w:p>
        </w:tc>
      </w:tr>
      <w:tr>
        <w:trPr>
          <w:trHeight w:val="21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hd w:fill="ffffff" w:val="clear"/>
              <w:jc w:val="center"/>
              <w:rPr>
                <w:rFonts w:ascii="Roboto" w:cs="Roboto" w:eastAsia="Roboto" w:hAnsi="Roboto"/>
                <w:i w:val="1"/>
                <w:color w:val="222222"/>
              </w:rPr>
            </w:pPr>
            <w:r w:rsidDel="00000000" w:rsidR="00000000" w:rsidRPr="00000000">
              <w:rPr>
                <w:rFonts w:ascii="Roboto" w:cs="Roboto" w:eastAsia="Roboto" w:hAnsi="Roboto"/>
                <w:i w:val="1"/>
                <w:color w:val="222222"/>
                <w:rtl w:val="0"/>
              </w:rPr>
              <w:t xml:space="preserve">3. NORMATIVA Y FISCALIZACIÓN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Reglamentaciones sobre circulación de camiones e itinerarios para vehículos pesados</w:t>
            </w:r>
          </w:p>
          <w:p w:rsidR="00000000" w:rsidDel="00000000" w:rsidP="00000000" w:rsidRDefault="00000000" w:rsidRPr="00000000" w14:paraId="0000001F">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Regulación de zonas de carga y descarga en la vía pública</w:t>
            </w:r>
          </w:p>
          <w:p w:rsidR="00000000" w:rsidDel="00000000" w:rsidP="00000000" w:rsidRDefault="00000000" w:rsidRPr="00000000" w14:paraId="00000020">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Fiscalización de las zonas de carga y descarga</w:t>
            </w:r>
          </w:p>
          <w:p w:rsidR="00000000" w:rsidDel="00000000" w:rsidP="00000000" w:rsidRDefault="00000000" w:rsidRPr="00000000" w14:paraId="00000021">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Zonas de bajas emisiones</w:t>
            </w:r>
          </w:p>
          <w:p w:rsidR="00000000" w:rsidDel="00000000" w:rsidP="00000000" w:rsidRDefault="00000000" w:rsidRPr="00000000" w14:paraId="00000022">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Incentivos y tasas fiscales. Peajes urbanos</w:t>
            </w:r>
          </w:p>
          <w:p w:rsidR="00000000" w:rsidDel="00000000" w:rsidP="00000000" w:rsidRDefault="00000000" w:rsidRPr="00000000" w14:paraId="00000023">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Normativas sobre carga y descarga en planes de urbanismo</w:t>
            </w:r>
          </w:p>
        </w:tc>
      </w:tr>
      <w:tr>
        <w:trPr>
          <w:trHeight w:val="21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hd w:fill="ffffff" w:val="clear"/>
              <w:jc w:val="center"/>
              <w:rPr>
                <w:rFonts w:ascii="Roboto" w:cs="Roboto" w:eastAsia="Roboto" w:hAnsi="Roboto"/>
                <w:i w:val="1"/>
                <w:color w:val="222222"/>
              </w:rPr>
            </w:pPr>
            <w:r w:rsidDel="00000000" w:rsidR="00000000" w:rsidRPr="00000000">
              <w:rPr>
                <w:rFonts w:ascii="Roboto" w:cs="Roboto" w:eastAsia="Roboto" w:hAnsi="Roboto"/>
                <w:i w:val="1"/>
                <w:color w:val="222222"/>
                <w:rtl w:val="0"/>
              </w:rPr>
              <w:t xml:space="preserve">4. INFRAESTRUCTURAS LOGÍSTICAS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Infraestructuras de acceso a puertos</w:t>
            </w:r>
          </w:p>
          <w:p w:rsidR="00000000" w:rsidDel="00000000" w:rsidP="00000000" w:rsidRDefault="00000000" w:rsidRPr="00000000" w14:paraId="00000026">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Infraestructuras para la multimodalidad en la última milla</w:t>
            </w:r>
          </w:p>
          <w:p w:rsidR="00000000" w:rsidDel="00000000" w:rsidP="00000000" w:rsidRDefault="00000000" w:rsidRPr="00000000" w14:paraId="00000027">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Estacionamientos para camiones de gran porte</w:t>
            </w:r>
          </w:p>
          <w:p w:rsidR="00000000" w:rsidDel="00000000" w:rsidP="00000000" w:rsidRDefault="00000000" w:rsidRPr="00000000" w14:paraId="00000028">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Reubicación de mercado central</w:t>
            </w:r>
          </w:p>
          <w:p w:rsidR="00000000" w:rsidDel="00000000" w:rsidP="00000000" w:rsidRDefault="00000000" w:rsidRPr="00000000" w14:paraId="00000029">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Plataformas logísticas de distribución urbana y metropolitana</w:t>
            </w:r>
          </w:p>
          <w:p w:rsidR="00000000" w:rsidDel="00000000" w:rsidP="00000000" w:rsidRDefault="00000000" w:rsidRPr="00000000" w14:paraId="0000002A">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Microplataformas de distribución urbana</w:t>
            </w:r>
          </w:p>
          <w:p w:rsidR="00000000" w:rsidDel="00000000" w:rsidP="00000000" w:rsidRDefault="00000000" w:rsidRPr="00000000" w14:paraId="0000002B">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Terminales logísticas urbanas (hoteles logísticos)</w:t>
            </w:r>
          </w:p>
        </w:tc>
      </w:tr>
      <w:tr>
        <w:trPr>
          <w:trHeight w:val="21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hd w:fill="ffffff" w:val="clear"/>
              <w:jc w:val="center"/>
              <w:rPr>
                <w:rFonts w:ascii="Roboto" w:cs="Roboto" w:eastAsia="Roboto" w:hAnsi="Roboto"/>
                <w:i w:val="1"/>
                <w:color w:val="222222"/>
              </w:rPr>
            </w:pPr>
            <w:r w:rsidDel="00000000" w:rsidR="00000000" w:rsidRPr="00000000">
              <w:rPr>
                <w:rFonts w:ascii="Roboto" w:cs="Roboto" w:eastAsia="Roboto" w:hAnsi="Roboto"/>
                <w:i w:val="1"/>
                <w:color w:val="222222"/>
                <w:rtl w:val="0"/>
              </w:rPr>
              <w:t xml:space="preserve">5. POLÍTICAS COLABORATIVAS E INNOVACIÓN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Promoción de la carga y descarga nocturna</w:t>
            </w:r>
          </w:p>
          <w:p w:rsidR="00000000" w:rsidDel="00000000" w:rsidP="00000000" w:rsidRDefault="00000000" w:rsidRPr="00000000" w14:paraId="0000002E">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Promoción de servicios innovadores de última milla con vehículos menos contaminantes</w:t>
            </w:r>
          </w:p>
          <w:p w:rsidR="00000000" w:rsidDel="00000000" w:rsidP="00000000" w:rsidRDefault="00000000" w:rsidRPr="00000000" w14:paraId="0000002F">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Acciones para promover la seguridad vial</w:t>
            </w:r>
          </w:p>
          <w:p w:rsidR="00000000" w:rsidDel="00000000" w:rsidP="00000000" w:rsidRDefault="00000000" w:rsidRPr="00000000" w14:paraId="00000030">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Sellos de excelencia de buenas prácticas</w:t>
            </w:r>
          </w:p>
          <w:p w:rsidR="00000000" w:rsidDel="00000000" w:rsidP="00000000" w:rsidRDefault="00000000" w:rsidRPr="00000000" w14:paraId="00000031">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Acciones de información, comunicación y sensibilización</w:t>
            </w:r>
          </w:p>
          <w:p w:rsidR="00000000" w:rsidDel="00000000" w:rsidP="00000000" w:rsidRDefault="00000000" w:rsidRPr="00000000" w14:paraId="00000032">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Medidas para reducir las entregas del comercio electrónico</w:t>
            </w:r>
          </w:p>
        </w:tc>
      </w:tr>
    </w:tbl>
    <w:p w:rsidR="00000000" w:rsidDel="00000000" w:rsidP="00000000" w:rsidRDefault="00000000" w:rsidRPr="00000000" w14:paraId="00000033">
      <w:pPr>
        <w:shd w:fill="ffffff" w:val="clear"/>
        <w:jc w:val="both"/>
        <w:rPr>
          <w:rFonts w:ascii="Arial Narrow" w:cs="Arial Narrow" w:eastAsia="Arial Narrow" w:hAnsi="Arial Narrow"/>
          <w:i w:val="1"/>
          <w:color w:val="222222"/>
          <w:sz w:val="24"/>
          <w:szCs w:val="24"/>
        </w:rPr>
      </w:pPr>
      <w:r w:rsidDel="00000000" w:rsidR="00000000" w:rsidRPr="00000000">
        <w:rPr>
          <w:rFonts w:ascii="Arial Narrow" w:cs="Arial Narrow" w:eastAsia="Arial Narrow" w:hAnsi="Arial Narrow"/>
          <w:i w:val="1"/>
          <w:color w:val="222222"/>
          <w:sz w:val="24"/>
          <w:szCs w:val="24"/>
          <w:rtl w:val="0"/>
        </w:rPr>
        <w:t xml:space="preserve"> </w:t>
      </w:r>
    </w:p>
    <w:p w:rsidR="00000000" w:rsidDel="00000000" w:rsidP="00000000" w:rsidRDefault="00000000" w:rsidRPr="00000000" w14:paraId="00000034">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La guía contiene buenas prácticas de ciudades como </w:t>
      </w:r>
      <w:r w:rsidDel="00000000" w:rsidR="00000000" w:rsidRPr="00000000">
        <w:rPr>
          <w:rFonts w:ascii="Arial Narrow" w:cs="Arial Narrow" w:eastAsia="Arial Narrow" w:hAnsi="Arial Narrow"/>
          <w:b w:val="1"/>
          <w:i w:val="1"/>
          <w:color w:val="222222"/>
          <w:rtl w:val="0"/>
        </w:rPr>
        <w:t xml:space="preserve">Bogotá, Cali, Ciudad de México, Ciudad de Panamá, Fortaleza, Lima, Montevideo, Rosario, Valparaíso</w:t>
      </w:r>
      <w:r w:rsidDel="00000000" w:rsidR="00000000" w:rsidRPr="00000000">
        <w:rPr>
          <w:rFonts w:ascii="Arial Narrow" w:cs="Arial Narrow" w:eastAsia="Arial Narrow" w:hAnsi="Arial Narrow"/>
          <w:i w:val="1"/>
          <w:color w:val="222222"/>
          <w:rtl w:val="0"/>
        </w:rPr>
        <w:t xml:space="preserve">, entre otros, que se pueden replicar a otras de América Latina. </w:t>
      </w:r>
      <w:hyperlink r:id="rId7">
        <w:r w:rsidDel="00000000" w:rsidR="00000000" w:rsidRPr="00000000">
          <w:rPr>
            <w:rFonts w:ascii="Arial Narrow" w:cs="Arial Narrow" w:eastAsia="Arial Narrow" w:hAnsi="Arial Narrow"/>
            <w:i w:val="1"/>
            <w:color w:val="0563c1"/>
            <w:u w:val="single"/>
            <w:rtl w:val="0"/>
          </w:rPr>
          <w:t xml:space="preserve">Descargue la publicación aquí</w:t>
        </w:r>
      </w:hyperlink>
      <w:r w:rsidDel="00000000" w:rsidR="00000000" w:rsidRPr="00000000">
        <w:rPr>
          <w:rFonts w:ascii="Arial Narrow" w:cs="Arial Narrow" w:eastAsia="Arial Narrow" w:hAnsi="Arial Narrow"/>
          <w:i w:val="1"/>
          <w:color w:val="222222"/>
          <w:rtl w:val="0"/>
        </w:rPr>
        <w:t xml:space="preserve">.</w:t>
      </w:r>
    </w:p>
    <w:p w:rsidR="00000000" w:rsidDel="00000000" w:rsidP="00000000" w:rsidRDefault="00000000" w:rsidRPr="00000000" w14:paraId="00000035">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w:t>
      </w:r>
    </w:p>
    <w:p w:rsidR="00000000" w:rsidDel="00000000" w:rsidP="00000000" w:rsidRDefault="00000000" w:rsidRPr="00000000" w14:paraId="00000036">
      <w:pPr>
        <w:shd w:fill="ffffff" w:val="clear"/>
        <w:jc w:val="both"/>
        <w:rPr>
          <w:rFonts w:ascii="Arial Narrow" w:cs="Arial Narrow" w:eastAsia="Arial Narrow" w:hAnsi="Arial Narrow"/>
          <w:i w:val="1"/>
          <w:color w:val="0563c1"/>
          <w:u w:val="single"/>
        </w:rPr>
      </w:pPr>
      <w:r w:rsidDel="00000000" w:rsidR="00000000" w:rsidRPr="00000000">
        <w:rPr>
          <w:rFonts w:ascii="Arial Narrow" w:cs="Arial Narrow" w:eastAsia="Arial Narrow" w:hAnsi="Arial Narrow"/>
          <w:i w:val="1"/>
          <w:color w:val="222222"/>
          <w:rtl w:val="0"/>
        </w:rPr>
        <w:t xml:space="preserve">Para profundizar en este asunto se realizará el </w:t>
      </w:r>
      <w:r w:rsidDel="00000000" w:rsidR="00000000" w:rsidRPr="00000000">
        <w:rPr>
          <w:rFonts w:ascii="Arial Narrow" w:cs="Arial Narrow" w:eastAsia="Arial Narrow" w:hAnsi="Arial Narrow"/>
          <w:b w:val="1"/>
          <w:i w:val="1"/>
          <w:color w:val="222222"/>
          <w:rtl w:val="0"/>
        </w:rPr>
        <w:t xml:space="preserve">miércoles 20 de mayo una charla en línea</w:t>
      </w:r>
      <w:r w:rsidDel="00000000" w:rsidR="00000000" w:rsidRPr="00000000">
        <w:rPr>
          <w:rFonts w:ascii="Arial Narrow" w:cs="Arial Narrow" w:eastAsia="Arial Narrow" w:hAnsi="Arial Narrow"/>
          <w:i w:val="1"/>
          <w:color w:val="222222"/>
          <w:rtl w:val="0"/>
        </w:rPr>
        <w:t xml:space="preserve"> con la participación de </w:t>
      </w:r>
      <w:r w:rsidDel="00000000" w:rsidR="00000000" w:rsidRPr="00000000">
        <w:rPr>
          <w:rFonts w:ascii="Arial Narrow" w:cs="Arial Narrow" w:eastAsia="Arial Narrow" w:hAnsi="Arial Narrow"/>
          <w:b w:val="1"/>
          <w:i w:val="1"/>
          <w:color w:val="222222"/>
          <w:rtl w:val="0"/>
        </w:rPr>
        <w:t xml:space="preserve">Eva Jokanovich</w:t>
      </w:r>
      <w:r w:rsidDel="00000000" w:rsidR="00000000" w:rsidRPr="00000000">
        <w:rPr>
          <w:rFonts w:ascii="Arial Narrow" w:cs="Arial Narrow" w:eastAsia="Arial Narrow" w:hAnsi="Arial Narrow"/>
          <w:i w:val="1"/>
          <w:color w:val="222222"/>
          <w:rtl w:val="0"/>
        </w:rPr>
        <w:t xml:space="preserve">, secretaria de Movilidad de Rosario (Argentina); </w:t>
      </w:r>
      <w:r w:rsidDel="00000000" w:rsidR="00000000" w:rsidRPr="00000000">
        <w:rPr>
          <w:rFonts w:ascii="Arial Narrow" w:cs="Arial Narrow" w:eastAsia="Arial Narrow" w:hAnsi="Arial Narrow"/>
          <w:b w:val="1"/>
          <w:i w:val="1"/>
          <w:color w:val="222222"/>
          <w:rtl w:val="0"/>
        </w:rPr>
        <w:t xml:space="preserve">Ignasi Ragás</w:t>
      </w:r>
      <w:r w:rsidDel="00000000" w:rsidR="00000000" w:rsidRPr="00000000">
        <w:rPr>
          <w:rFonts w:ascii="Arial Narrow" w:cs="Arial Narrow" w:eastAsia="Arial Narrow" w:hAnsi="Arial Narrow"/>
          <w:i w:val="1"/>
          <w:color w:val="222222"/>
          <w:rtl w:val="0"/>
        </w:rPr>
        <w:t xml:space="preserve"> (experto en logística urbana. Cataluña, España) y </w:t>
      </w:r>
      <w:r w:rsidDel="00000000" w:rsidR="00000000" w:rsidRPr="00000000">
        <w:rPr>
          <w:rFonts w:ascii="Arial Narrow" w:cs="Arial Narrow" w:eastAsia="Arial Narrow" w:hAnsi="Arial Narrow"/>
          <w:b w:val="1"/>
          <w:i w:val="1"/>
          <w:color w:val="222222"/>
          <w:rtl w:val="0"/>
        </w:rPr>
        <w:t xml:space="preserve">Andrés Alcalá</w:t>
      </w:r>
      <w:r w:rsidDel="00000000" w:rsidR="00000000" w:rsidRPr="00000000">
        <w:rPr>
          <w:rFonts w:ascii="Arial Narrow" w:cs="Arial Narrow" w:eastAsia="Arial Narrow" w:hAnsi="Arial Narrow"/>
          <w:i w:val="1"/>
          <w:color w:val="222222"/>
          <w:rtl w:val="0"/>
        </w:rPr>
        <w:t xml:space="preserve">, coordinador del programa LOGUS en CAF, moderado por </w:t>
      </w:r>
      <w:r w:rsidDel="00000000" w:rsidR="00000000" w:rsidRPr="00000000">
        <w:rPr>
          <w:rFonts w:ascii="Arial Narrow" w:cs="Arial Narrow" w:eastAsia="Arial Narrow" w:hAnsi="Arial Narrow"/>
          <w:b w:val="1"/>
          <w:i w:val="1"/>
          <w:color w:val="212529"/>
          <w:rtl w:val="0"/>
        </w:rPr>
        <w:t xml:space="preserve">Erica Astudillo</w:t>
      </w:r>
      <w:r w:rsidDel="00000000" w:rsidR="00000000" w:rsidRPr="00000000">
        <w:rPr>
          <w:rFonts w:ascii="Arial Narrow" w:cs="Arial Narrow" w:eastAsia="Arial Narrow" w:hAnsi="Arial Narrow"/>
          <w:i w:val="1"/>
          <w:color w:val="212529"/>
          <w:rtl w:val="0"/>
        </w:rPr>
        <w:t xml:space="preserve">, editora de Economía de El Telégrafo (Ecuador).</w:t>
      </w:r>
      <w:r w:rsidDel="00000000" w:rsidR="00000000" w:rsidRPr="00000000">
        <w:rPr>
          <w:rFonts w:ascii="Arial Narrow" w:cs="Arial Narrow" w:eastAsia="Arial Narrow" w:hAnsi="Arial Narrow"/>
          <w:i w:val="1"/>
          <w:color w:val="222222"/>
          <w:rtl w:val="0"/>
        </w:rPr>
        <w:t xml:space="preserve"> </w:t>
      </w:r>
      <w:hyperlink r:id="rId8">
        <w:r w:rsidDel="00000000" w:rsidR="00000000" w:rsidRPr="00000000">
          <w:rPr>
            <w:rFonts w:ascii="Arial Narrow" w:cs="Arial Narrow" w:eastAsia="Arial Narrow" w:hAnsi="Arial Narrow"/>
            <w:i w:val="1"/>
            <w:color w:val="0563c1"/>
            <w:u w:val="single"/>
            <w:rtl w:val="0"/>
          </w:rPr>
          <w:t xml:space="preserve">Inscríbase aquí</w:t>
        </w:r>
      </w:hyperlink>
      <w:r w:rsidDel="00000000" w:rsidR="00000000" w:rsidRPr="00000000">
        <w:rPr>
          <w:rFonts w:ascii="Arial Narrow" w:cs="Arial Narrow" w:eastAsia="Arial Narrow" w:hAnsi="Arial Narrow"/>
          <w:i w:val="1"/>
          <w:color w:val="0563c1"/>
          <w:u w:val="single"/>
          <w:rtl w:val="0"/>
        </w:rPr>
        <w:t xml:space="preserve">.</w:t>
      </w:r>
    </w:p>
    <w:p w:rsidR="00000000" w:rsidDel="00000000" w:rsidP="00000000" w:rsidRDefault="00000000" w:rsidRPr="00000000" w14:paraId="00000037">
      <w:pPr>
        <w:shd w:fill="ffffff" w:val="clear"/>
        <w:jc w:val="both"/>
        <w:rPr>
          <w:rFonts w:ascii="Arial Narrow" w:cs="Arial Narrow" w:eastAsia="Arial Narrow" w:hAnsi="Arial Narrow"/>
          <w:i w:val="1"/>
          <w:color w:val="0563c1"/>
          <w:u w:val="single"/>
        </w:rPr>
      </w:pPr>
      <w:r w:rsidDel="00000000" w:rsidR="00000000" w:rsidRPr="00000000">
        <w:rPr>
          <w:rtl w:val="0"/>
        </w:rPr>
      </w:r>
    </w:p>
    <w:p w:rsidR="00000000" w:rsidDel="00000000" w:rsidP="00000000" w:rsidRDefault="00000000" w:rsidRPr="00000000" w14:paraId="00000038">
      <w:pPr>
        <w:shd w:fill="ffffff" w:val="clear"/>
        <w:jc w:val="both"/>
        <w:rPr>
          <w:rFonts w:ascii="Arial Narrow" w:cs="Arial Narrow" w:eastAsia="Arial Narrow" w:hAnsi="Arial Narrow"/>
          <w:i w:val="1"/>
          <w:color w:val="0563c1"/>
          <w:u w:val="single"/>
        </w:rPr>
      </w:pPr>
      <w:r w:rsidDel="00000000" w:rsidR="00000000" w:rsidRPr="00000000">
        <w:rPr>
          <w:rtl w:val="0"/>
        </w:rPr>
      </w:r>
    </w:p>
    <w:p w:rsidR="00000000" w:rsidDel="00000000" w:rsidP="00000000" w:rsidRDefault="00000000" w:rsidRPr="00000000" w14:paraId="00000039">
      <w:pPr>
        <w:shd w:fill="ffffff" w:val="clear"/>
        <w:jc w:val="both"/>
        <w:rPr>
          <w:rFonts w:ascii="Arial Narrow" w:cs="Arial Narrow" w:eastAsia="Arial Narrow" w:hAnsi="Arial Narrow"/>
          <w:i w:val="1"/>
          <w:color w:val="0563c1"/>
          <w:u w:val="single"/>
        </w:rPr>
      </w:pPr>
      <w:r w:rsidDel="00000000" w:rsidR="00000000" w:rsidRPr="00000000">
        <w:rPr>
          <w:rtl w:val="0"/>
        </w:rPr>
      </w:r>
    </w:p>
    <w:p w:rsidR="00000000" w:rsidDel="00000000" w:rsidP="00000000" w:rsidRDefault="00000000" w:rsidRPr="00000000" w14:paraId="0000003A">
      <w:pPr>
        <w:shd w:fill="ffffff" w:val="clear"/>
        <w:jc w:val="both"/>
        <w:rPr>
          <w:rFonts w:ascii="Arial Narrow" w:cs="Arial Narrow" w:eastAsia="Arial Narrow" w:hAnsi="Arial Narrow"/>
          <w:i w:val="1"/>
          <w:color w:val="222222"/>
          <w:sz w:val="24"/>
          <w:szCs w:val="24"/>
        </w:rPr>
      </w:pPr>
      <w:r w:rsidDel="00000000" w:rsidR="00000000" w:rsidRPr="00000000">
        <w:rPr>
          <w:rFonts w:ascii="Arial Narrow" w:cs="Arial Narrow" w:eastAsia="Arial Narrow" w:hAnsi="Arial Narrow"/>
          <w:i w:val="1"/>
          <w:color w:val="222222"/>
          <w:sz w:val="24"/>
          <w:szCs w:val="24"/>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3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40">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41">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11">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42">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2">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3"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-180974</wp:posOffset>
          </wp:positionV>
          <wp:extent cx="2105025" cy="657225"/>
          <wp:effectExtent b="0" l="0" r="0" t="0"/>
          <wp:wrapTopAndBottom distB="0" distT="0"/>
          <wp:docPr descr="Logo_CAF50_Aniversario" id="2" name="image2.png"/>
          <a:graphic>
            <a:graphicData uri="http://schemas.openxmlformats.org/drawingml/2006/picture">
              <pic:pic>
                <pic:nvPicPr>
                  <pic:cNvPr descr="Logo_CAF50_Aniversario" id="0" name="image2.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rensa@caf.com" TargetMode="External"/><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yperlink" Target="https://www.facebook.com/CAF.America.Lat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hyperlink" Target="https://scioteca.caf.com/handle/123456789/1510" TargetMode="External"/><Relationship Id="rId7" Type="http://schemas.openxmlformats.org/officeDocument/2006/relationships/hyperlink" Target="https://scioteca.caf.com/handle/123456789/1510" TargetMode="External"/><Relationship Id="rId8" Type="http://schemas.openxmlformats.org/officeDocument/2006/relationships/hyperlink" Target="https://www.caf.com/es/actualidad/eventos/?filter=futu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